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>ГБУЗ СК « Александровская РБ»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Памятка для родителей новорождённых детей</w:t>
      </w:r>
    </w:p>
    <w:p>
      <w:pPr>
        <w:pStyle w:val="Normal"/>
        <w:keepNext w:val="true"/>
        <w:keepLines/>
        <w:numPr>
          <w:ilvl w:val="0"/>
          <w:numId w:val="0"/>
        </w:numPr>
        <w:snapToGrid w:val="false"/>
        <w:spacing w:lineRule="auto" w:line="240" w:before="80" w:after="80"/>
        <w:jc w:val="both"/>
        <w:outlineLvl w:val="0"/>
        <w:rPr>
          <w:rFonts w:ascii="Times New Roman" w:hAnsi="Times New Roman" w:eastAsia="Times New Roman"/>
          <w:color w:val="000000"/>
        </w:rPr>
      </w:pPr>
      <w:r>
        <w:rPr>
          <w:rFonts w:eastAsia="Times New Roman" w:ascii="Times New Roman" w:hAnsi="Times New Roman"/>
          <w:b/>
          <w:color w:val="000000"/>
        </w:rPr>
        <w:t>Что такое неонатальный скрининг?</w:t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Неонатальный скрининг — это обследование новорожденных для раннего выявления (до развития симптомов) и лечения наследственных и врожденных заболеваний.</w:t>
      </w:r>
      <w:r>
        <w:rPr>
          <w:rFonts w:ascii="Times New Roman" w:hAnsi="Times New Roman"/>
        </w:rPr>
        <w:t xml:space="preserve"> Все расходы на неонатальный скрининг для граждан РФ, включая подтверждающую диагностику, оплачиваются за счет средств бюджета РФ.</w:t>
      </w:r>
    </w:p>
    <w:p>
      <w:pPr>
        <w:pStyle w:val="Normal"/>
        <w:keepNext w:val="true"/>
        <w:keepLines/>
        <w:numPr>
          <w:ilvl w:val="0"/>
          <w:numId w:val="0"/>
        </w:numPr>
        <w:snapToGrid w:val="false"/>
        <w:spacing w:lineRule="auto" w:line="240" w:before="80" w:after="80"/>
        <w:jc w:val="both"/>
        <w:outlineLvl w:val="0"/>
        <w:rPr>
          <w:rFonts w:ascii="Times New Roman" w:hAnsi="Times New Roman" w:eastAsia="Times New Roman"/>
          <w:b/>
          <w:b/>
          <w:color w:val="000000"/>
        </w:rPr>
      </w:pPr>
      <w:r>
        <w:rPr>
          <w:rFonts w:eastAsia="Times New Roman" w:ascii="Times New Roman" w:hAnsi="Times New Roman"/>
          <w:b/>
          <w:color w:val="000000"/>
        </w:rPr>
        <w:t>На какие заболевания проводится неонатальный скрининг?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Программа скрининга в России включает в себя обязательное обследование всех новорождённых. Ранее скрининг проводился на 5 наследственных заболеваний. Сейчас количество заболеваний расширилось до 36. </w:t>
      </w:r>
    </w:p>
    <w:p>
      <w:pPr>
        <w:pStyle w:val="Normal"/>
        <w:numPr>
          <w:ilvl w:val="0"/>
          <w:numId w:val="1"/>
        </w:numPr>
        <w:spacing w:before="0" w:after="20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Наследственные болезни обмена веществ (НБО)</w:t>
      </w:r>
      <w:r>
        <w:rPr>
          <w:rFonts w:ascii="Times New Roman" w:hAnsi="Times New Roman"/>
        </w:rPr>
        <w:t xml:space="preserve"> — группа генетических заболеваний, при которых происходят нарушения в биохимических процессах и поражаются различные системы и органы. При большинстве НБО для лечения применяют диетотерапию, которую необходимо начать как можно раньше, чтобы сохранить здоровье ребенка.</w:t>
      </w:r>
    </w:p>
    <w:p>
      <w:pPr>
        <w:pStyle w:val="Normal"/>
        <w:numPr>
          <w:ilvl w:val="0"/>
          <w:numId w:val="1"/>
        </w:numPr>
        <w:spacing w:before="0" w:after="20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Врождённый гипотиреоз</w:t>
      </w:r>
      <w:r>
        <w:rPr>
          <w:rFonts w:ascii="Times New Roman" w:hAnsi="Times New Roman"/>
        </w:rPr>
        <w:t xml:space="preserve"> — наследственная патология щитовидной железы, которая может привести к отставанию в физическом развитии и тяжёлой умственной неполноценности. На сегодняшний день, своевременно диагностированный гипотиреоз хорошо поддается гормональной терапии.</w:t>
      </w:r>
    </w:p>
    <w:p>
      <w:pPr>
        <w:pStyle w:val="Normal"/>
        <w:numPr>
          <w:ilvl w:val="0"/>
          <w:numId w:val="1"/>
        </w:numPr>
        <w:spacing w:before="0" w:after="20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Адреногенитальный синдром</w:t>
      </w:r>
      <w:r>
        <w:rPr>
          <w:rFonts w:ascii="Times New Roman" w:hAnsi="Times New Roman"/>
        </w:rPr>
        <w:t xml:space="preserve"> — группа нарушений, связанных с избыточной секрецией гормонов коры надпочечников. </w:t>
      </w:r>
      <w:r>
        <w:rPr>
          <w:rFonts w:ascii="Times New Roman" w:hAnsi="Times New Roman"/>
          <w:strike/>
        </w:rPr>
        <w:t xml:space="preserve"> </w:t>
      </w:r>
      <w:r>
        <w:rPr>
          <w:rFonts w:ascii="Times New Roman" w:hAnsi="Times New Roman"/>
        </w:rPr>
        <w:t xml:space="preserve"> Заболевание имеет различные формы, в особо тяжёлых случаях проявляется нарушением водно-солевого обмена и полиорганной недостаточностью. Полному излечению этот синдром не поддаётся, но его можно держать под контролем при помощи гормональной терапии.</w:t>
      </w:r>
    </w:p>
    <w:p>
      <w:pPr>
        <w:pStyle w:val="Normal"/>
        <w:numPr>
          <w:ilvl w:val="0"/>
          <w:numId w:val="1"/>
        </w:numPr>
        <w:spacing w:before="0" w:after="20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Муковисцидоз </w:t>
      </w:r>
      <w:r>
        <w:rPr>
          <w:rFonts w:ascii="Times New Roman" w:hAnsi="Times New Roman"/>
        </w:rPr>
        <w:t>— одно из наиболее распространённых наследственных заболеваний. Проявляется поражением легких, печени, желудочно-кишечного тракта и других систем организма. Необходимо начинать лечение как можно раньше, чтобы максимально улучшить качество и продолжительность жизни.</w:t>
      </w:r>
    </w:p>
    <w:p>
      <w:pPr>
        <w:pStyle w:val="Normal"/>
        <w:numPr>
          <w:ilvl w:val="0"/>
          <w:numId w:val="1"/>
        </w:numPr>
        <w:spacing w:before="0" w:after="20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Спинальная мышечная атрофия </w:t>
      </w:r>
      <w:r>
        <w:rPr>
          <w:rFonts w:ascii="Times New Roman" w:hAnsi="Times New Roman"/>
        </w:rPr>
        <w:t>— это тяжёлое наследственное нервно-мышечное заболевание. Болезнь может начаться с первых месяцев жизни, проявляться постепенно нарастающей слабостью мышц и приводить к тяжёлым двигательным нарушениям. В настоящее время существует терапия, которая вместе со специализированной реабилитацией может в значительной степени уменьшить проявления этого заболевания.</w:t>
      </w:r>
    </w:p>
    <w:p>
      <w:pPr>
        <w:pStyle w:val="Normal"/>
        <w:numPr>
          <w:ilvl w:val="0"/>
          <w:numId w:val="1"/>
        </w:numPr>
        <w:spacing w:before="0" w:after="20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Первичные иммунодефициты (ПИД) </w:t>
      </w:r>
      <w:r>
        <w:rPr>
          <w:rFonts w:ascii="Times New Roman" w:hAnsi="Times New Roman"/>
        </w:rPr>
        <w:t>— это наследственные или приобретенные заболевания иммунной системы. Дети с ПИД подвержены высокому риску развития тяжёлых инфекций с первых дней жизни. Если заболевание выявлено вовремя, повышается успешность лечения, позволяющего восстановить нормальную функцию иммунной системы.</w:t>
      </w:r>
    </w:p>
    <w:p>
      <w:pPr>
        <w:pStyle w:val="Normal"/>
        <w:keepNext w:val="true"/>
        <w:keepLines/>
        <w:numPr>
          <w:ilvl w:val="0"/>
          <w:numId w:val="0"/>
        </w:numPr>
        <w:snapToGrid w:val="false"/>
        <w:spacing w:lineRule="auto" w:line="240" w:before="80" w:after="80"/>
        <w:jc w:val="both"/>
        <w:outlineLvl w:val="0"/>
        <w:rPr>
          <w:rFonts w:ascii="Times New Roman" w:hAnsi="Times New Roman" w:eastAsia="Times New Roman"/>
          <w:b/>
          <w:b/>
          <w:color w:val="000000"/>
        </w:rPr>
      </w:pPr>
      <w:r>
        <w:rPr>
          <w:rFonts w:eastAsia="Times New Roman" w:ascii="Times New Roman" w:hAnsi="Times New Roman"/>
          <w:b/>
          <w:color w:val="000000"/>
        </w:rPr>
      </w:r>
    </w:p>
    <w:p>
      <w:pPr>
        <w:pStyle w:val="Normal"/>
        <w:keepNext w:val="true"/>
        <w:keepLines/>
        <w:numPr>
          <w:ilvl w:val="0"/>
          <w:numId w:val="0"/>
        </w:numPr>
        <w:snapToGrid w:val="false"/>
        <w:spacing w:lineRule="auto" w:line="240" w:before="80" w:after="80"/>
        <w:jc w:val="both"/>
        <w:outlineLvl w:val="0"/>
        <w:rPr>
          <w:rFonts w:ascii="Times New Roman" w:hAnsi="Times New Roman" w:eastAsia="Times New Roman"/>
          <w:b/>
          <w:b/>
          <w:color w:val="000000"/>
        </w:rPr>
      </w:pPr>
      <w:r>
        <w:rPr>
          <w:rFonts w:eastAsia="Times New Roman" w:ascii="Times New Roman" w:hAnsi="Times New Roman"/>
          <w:b/>
          <w:color w:val="000000"/>
        </w:rPr>
        <w:t>Информированное добровольное согласие родителей</w:t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Обследование новорожденного проводится только при наличии письменного согласия родителя или законного представителя ребенка. От неонатального скрининга можно отказаться, однако необходимо иметь в виду, что при отказе от обследования ребенка диагноз наследственного и (или) врожденного заболевания будет поставлен несвоевременно и лечение будет начато поздно, что приведет к негативным последствиям для его здоровья.</w:t>
      </w:r>
    </w:p>
    <w:p>
      <w:pPr>
        <w:pStyle w:val="Normal"/>
        <w:keepNext w:val="true"/>
        <w:keepLines/>
        <w:numPr>
          <w:ilvl w:val="0"/>
          <w:numId w:val="0"/>
        </w:numPr>
        <w:snapToGrid w:val="false"/>
        <w:spacing w:lineRule="auto" w:line="240" w:before="80" w:after="80"/>
        <w:jc w:val="both"/>
        <w:outlineLvl w:val="0"/>
        <w:rPr>
          <w:rFonts w:ascii="Times New Roman" w:hAnsi="Times New Roman" w:eastAsia="Times New Roman"/>
          <w:b/>
          <w:b/>
          <w:color w:val="000000"/>
        </w:rPr>
      </w:pPr>
      <w:r>
        <w:rPr>
          <w:rFonts w:eastAsia="Times New Roman" w:ascii="Times New Roman" w:hAnsi="Times New Roman"/>
          <w:b/>
          <w:color w:val="000000"/>
        </w:rPr>
        <w:t>Где, как и когда проводится взятие крови для неонатального скрининга?</w:t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Образцы крови на скрининг берут в родильном доме, перинатальном центре или в больнице, где находится новорожденный ребенок. Если роды происходят в домашних условиях, необходимо незамедлительно (на 2 сутки жизни ребенка) обратиться в детскую поликлинику по месту жительства. При взятии крови для обследования в родильном доме ставится отметка о прохождении скрининга в выписке из истории развития ребенка. Если кровь была взята в поликлинике по месту жительства, информация об этом вносится в электронную/бумажную медицинскую карту ребенка.</w:t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Взятие образцов крови из пяточки новорожденного осуществляется на 2 специальных тест-бланка из фильтровальной бумаги </w:t>
      </w:r>
      <w:r>
        <w:rPr>
          <w:rFonts w:ascii="Times New Roman" w:hAnsi="Times New Roman"/>
          <w:color w:val="000000"/>
        </w:rPr>
        <w:t>на 2-е сутки жизни. У недоношенных детей кровь берется на 7-е сутки жизни. Эта рутинная процедура взятия небольшого количества крови из пятки новорожденного практически безболезненна и никак не травмирует ребенка.</w:t>
      </w:r>
    </w:p>
    <w:p>
      <w:pPr>
        <w:pStyle w:val="Normal"/>
        <w:keepNext w:val="true"/>
        <w:keepLines/>
        <w:numPr>
          <w:ilvl w:val="0"/>
          <w:numId w:val="0"/>
        </w:numPr>
        <w:snapToGrid w:val="false"/>
        <w:spacing w:lineRule="auto" w:line="240" w:before="80" w:after="80"/>
        <w:jc w:val="both"/>
        <w:outlineLvl w:val="0"/>
        <w:rPr>
          <w:rFonts w:ascii="Times New Roman" w:hAnsi="Times New Roman" w:eastAsia="Times New Roman"/>
          <w:b/>
          <w:b/>
          <w:color w:val="000000"/>
        </w:rPr>
      </w:pPr>
      <w:r>
        <w:rPr>
          <w:rFonts w:eastAsia="Times New Roman" w:ascii="Times New Roman" w:hAnsi="Times New Roman"/>
          <w:b/>
          <w:color w:val="000000"/>
        </w:rPr>
        <w:t>Где и как исследуют кровь?</w:t>
      </w:r>
    </w:p>
    <w:p>
      <w:pPr>
        <w:pStyle w:val="Normal"/>
        <w:spacing w:before="120"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Тест-бланки с образцами крови отправляются в лабораторию неонатального скрининга, в которой проводят специальные лабораторные тесты. Результаты анализов готовы на 5-е сутки жизни ребенка.</w:t>
      </w:r>
    </w:p>
    <w:p>
      <w:pPr>
        <w:pStyle w:val="Normal"/>
        <w:keepNext w:val="true"/>
        <w:keepLines/>
        <w:numPr>
          <w:ilvl w:val="0"/>
          <w:numId w:val="0"/>
        </w:numPr>
        <w:snapToGrid w:val="false"/>
        <w:spacing w:lineRule="auto" w:line="240" w:before="80" w:after="80"/>
        <w:jc w:val="both"/>
        <w:outlineLvl w:val="0"/>
        <w:rPr>
          <w:rFonts w:ascii="Times New Roman" w:hAnsi="Times New Roman" w:eastAsia="Times New Roman"/>
          <w:b/>
          <w:b/>
          <w:color w:val="000000"/>
        </w:rPr>
      </w:pPr>
      <w:r>
        <w:rPr>
          <w:rFonts w:eastAsia="Times New Roman" w:ascii="Times New Roman" w:hAnsi="Times New Roman"/>
          <w:b/>
          <w:color w:val="000000"/>
        </w:rPr>
        <w:t>Как узнать результат?</w:t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Если Ваш лечащий врач не связался с Вами, это означает, что результат скринингового обследования отрицательный, то есть у ребенка не выявлено подозрения ни на одно из 36 скринируемых наследственных заболеваний. Важно понимать, что наследственных заболеваний много и скрининг не позволяет исключить у ребенка все болезни.</w:t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Если у ребенка выявлены изменения при неонатальном скрининге (положительный результат) и есть подозрение на одно из исследуемых заболеваний, лечащий врач проинформирует Вас об этом по указанным в информированном согласии номеру телефона и/или адресу электронной почты. Лечащий врач объяснит, что делать дальше и даст направление на дальнейшие этапы обследования.</w:t>
      </w:r>
    </w:p>
    <w:p>
      <w:pPr>
        <w:pStyle w:val="Normal"/>
        <w:keepNext w:val="true"/>
        <w:keepLines/>
        <w:numPr>
          <w:ilvl w:val="0"/>
          <w:numId w:val="0"/>
        </w:numPr>
        <w:snapToGrid w:val="false"/>
        <w:spacing w:lineRule="auto" w:line="240" w:before="80" w:after="80"/>
        <w:jc w:val="both"/>
        <w:outlineLvl w:val="0"/>
        <w:rPr>
          <w:rFonts w:ascii="Times New Roman" w:hAnsi="Times New Roman" w:eastAsia="Times New Roman"/>
          <w:b/>
          <w:b/>
          <w:color w:val="000000"/>
        </w:rPr>
      </w:pPr>
      <w:r>
        <w:rPr>
          <w:rFonts w:eastAsia="Times New Roman" w:ascii="Times New Roman" w:hAnsi="Times New Roman"/>
          <w:b/>
          <w:color w:val="000000"/>
        </w:rPr>
        <w:t>Всегда ли положительные результаты теста означают что ребенок болен?</w:t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Следует помнить, что положительный результат первоначального теста не всегда означает наличие болезни. При подозрении на какое-либо заболевание Вас вызовут на дальнейшее обследование — подтверждающую диагностику.</w:t>
      </w:r>
      <w:r>
        <w:rPr>
          <w:rFonts w:ascii="Times New Roman" w:hAnsi="Times New Roman"/>
        </w:rPr>
        <w:t xml:space="preserve"> </w:t>
      </w:r>
    </w:p>
    <w:p>
      <w:pPr>
        <w:pStyle w:val="Normal"/>
        <w:keepNext w:val="true"/>
        <w:keepLines/>
        <w:numPr>
          <w:ilvl w:val="0"/>
          <w:numId w:val="0"/>
        </w:numPr>
        <w:snapToGrid w:val="false"/>
        <w:spacing w:lineRule="auto" w:line="240" w:before="80" w:after="80"/>
        <w:jc w:val="both"/>
        <w:outlineLvl w:val="0"/>
        <w:rPr>
          <w:rFonts w:ascii="Times New Roman" w:hAnsi="Times New Roman" w:eastAsia="Times New Roman"/>
          <w:b/>
          <w:b/>
          <w:color w:val="000000"/>
        </w:rPr>
      </w:pPr>
      <w:r>
        <w:rPr>
          <w:rFonts w:eastAsia="Times New Roman" w:ascii="Times New Roman" w:hAnsi="Times New Roman"/>
          <w:b/>
          <w:color w:val="000000"/>
        </w:rPr>
        <w:t>Почему важна подтверждающая диагностика, где она проводится?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 xml:space="preserve">Подтверждающая диагностика включает более сложные лабораторные тесты, которые проводятся в </w:t>
      </w:r>
      <w:r>
        <w:rPr>
          <w:rFonts w:ascii="Times New Roman" w:hAnsi="Times New Roman"/>
        </w:rPr>
        <w:t xml:space="preserve">ГБУЗ СККПЦ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Лаборатория по неонатальному скринингу.</w:t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Подтверждающая диагностика </w:t>
      </w:r>
      <w:r>
        <w:rPr>
          <w:rFonts w:ascii="Times New Roman" w:hAnsi="Times New Roman"/>
          <w:color w:val="000000"/>
        </w:rPr>
        <w:t>важна для выбора правильной тактики лечения.</w:t>
      </w:r>
      <w:r>
        <w:rPr>
          <w:rFonts w:ascii="Times New Roman" w:hAnsi="Times New Roman"/>
        </w:rPr>
        <w:t xml:space="preserve"> По результатам подтверждающей диагностики проводится медико-генетическое консультирование </w:t>
      </w:r>
      <w:r>
        <w:rPr>
          <w:rFonts w:ascii="Times New Roman" w:hAnsi="Times New Roman"/>
          <w:color w:val="000000"/>
        </w:rPr>
        <w:t>и выдается заключение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color w:val="000000"/>
        </w:rPr>
        <w:t xml:space="preserve"> Сроки проведения подтверждающей диагностики – 10 дней, но в некоторых случаях проведение лабораторной диагностики может занять больше времени. При некоторых заболеваниях лечение может быть начато до получения результатов подтверждающих тестов.</w:t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будущем результаты подтверждающей диагностики важны для планирования беременности.</w:t>
      </w:r>
    </w:p>
    <w:p>
      <w:pPr>
        <w:pStyle w:val="Normal"/>
        <w:jc w:val="both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Как хранятся образцы крови ребенка?</w:t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Карточки-фильтры хранятся не менее трех лет в региональной, не менее одного года — в межрегиональной медико-генетической консультации (центре). В информированном согласии вы можете дать разрешение, в том числе на использование образцов крови для научных исследований (в анонимной форме) или отказаться от него. Это важно для совершенствования методов диагностики и профилактики наследственных болезней.</w:t>
      </w:r>
    </w:p>
    <w:p>
      <w:pPr>
        <w:pStyle w:val="Normal"/>
        <w:keepNext w:val="true"/>
        <w:keepLines/>
        <w:numPr>
          <w:ilvl w:val="0"/>
          <w:numId w:val="0"/>
        </w:numPr>
        <w:snapToGrid w:val="false"/>
        <w:spacing w:lineRule="auto" w:line="240" w:before="80" w:after="80"/>
        <w:jc w:val="both"/>
        <w:outlineLvl w:val="0"/>
        <w:rPr>
          <w:rFonts w:ascii="Times New Roman" w:hAnsi="Times New Roman" w:eastAsia="Times New Roman"/>
          <w:b/>
          <w:b/>
          <w:color w:val="000000"/>
        </w:rPr>
      </w:pPr>
      <w:r>
        <w:rPr>
          <w:rFonts w:eastAsia="Times New Roman" w:ascii="Times New Roman" w:hAnsi="Times New Roman"/>
          <w:b/>
          <w:color w:val="000000"/>
        </w:rPr>
        <w:t>Где ребенок будет лечиться, если будет выявлено наследственное заболевание?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Ребенок будет наблюдаться в медико-генетической консультации и/или, в зависимости от особенностей, течения и осложнений заболевания, у соответствующего специалиста.</w:t>
      </w:r>
    </w:p>
    <w:p>
      <w:pPr>
        <w:pStyle w:val="Normal"/>
        <w:keepNext w:val="true"/>
        <w:keepLines/>
        <w:numPr>
          <w:ilvl w:val="0"/>
          <w:numId w:val="0"/>
        </w:numPr>
        <w:snapToGrid w:val="false"/>
        <w:spacing w:lineRule="auto" w:line="240" w:before="80" w:after="80"/>
        <w:jc w:val="both"/>
        <w:outlineLvl w:val="0"/>
        <w:rPr>
          <w:rFonts w:ascii="Times New Roman" w:hAnsi="Times New Roman" w:eastAsia="Times New Roman"/>
          <w:b/>
          <w:b/>
          <w:color w:val="000000"/>
        </w:rPr>
      </w:pPr>
      <w:r>
        <w:rPr>
          <w:rFonts w:eastAsia="Times New Roman" w:ascii="Times New Roman" w:hAnsi="Times New Roman"/>
          <w:b/>
          <w:color w:val="000000"/>
        </w:rPr>
        <w:t>Лечатся ли наследственные заболевания, выявляемые при неонатальном скрининге?</w:t>
      </w:r>
    </w:p>
    <w:p>
      <w:pPr>
        <w:pStyle w:val="Normal"/>
        <w:spacing w:before="0" w:after="200"/>
        <w:jc w:val="both"/>
        <w:rPr/>
      </w:pPr>
      <w:r>
        <w:rPr>
          <w:rFonts w:ascii="Times New Roman" w:hAnsi="Times New Roman"/>
        </w:rPr>
        <w:t>36 заболеваний, которые включены в программу расширенного неонатального скрининга, имеют достаточно эффективное лечение.</w:t>
      </w:r>
    </w:p>
    <w:sectPr>
      <w:type w:val="nextPage"/>
      <w:pgSz w:w="11906" w:h="16838"/>
      <w:pgMar w:left="1701" w:right="567" w:header="0" w:top="567" w:footer="0" w:bottom="56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Calibri Light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  <w:font w:name="Courier New">
    <w:charset w:val="01"/>
    <w:family w:val="swiss"/>
    <w:pitch w:val="default"/>
  </w:font>
  <w:font w:name="Liberation Mono">
    <w:altName w:val="Courier New"/>
    <w:charset w:val="01"/>
    <w:family w:val="swiss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" w:asciiTheme="minorHAnsi" w:cstheme="minorBidi" w:hAnsiTheme="minorHAnsi"/>
        <w:szCs w:val="24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e123e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link w:val="20"/>
    <w:uiPriority w:val="9"/>
    <w:unhideWhenUsed/>
    <w:qFormat/>
    <w:rsid w:val="00de123e"/>
    <w:pPr>
      <w:keepNext w:val="true"/>
      <w:keepLines/>
      <w:widowControl w:val="false"/>
      <w:spacing w:lineRule="auto" w:line="360" w:before="240" w:after="120"/>
      <w:ind w:firstLine="709"/>
      <w:jc w:val="both"/>
      <w:outlineLvl w:val="1"/>
    </w:pPr>
    <w:rPr>
      <w:rFonts w:ascii="Times New Roman" w:hAnsi="Times New Roman" w:eastAsia="Times New Roman"/>
      <w:b/>
      <w:color w:val="000000"/>
      <w:sz w:val="24"/>
      <w:szCs w:val="26"/>
      <w:lang w:eastAsia="ru-RU" w:bidi="ru-RU"/>
    </w:rPr>
  </w:style>
  <w:style w:type="paragraph" w:styleId="3">
    <w:name w:val="Heading 3"/>
    <w:basedOn w:val="Normal"/>
    <w:link w:val="30"/>
    <w:autoRedefine/>
    <w:uiPriority w:val="9"/>
    <w:unhideWhenUsed/>
    <w:qFormat/>
    <w:rsid w:val="002e7a8c"/>
    <w:pPr>
      <w:keepNext w:val="true"/>
      <w:keepLines/>
      <w:spacing w:before="80" w:after="80"/>
      <w:outlineLvl w:val="2"/>
    </w:pPr>
    <w:rPr>
      <w:rFonts w:eastAsia="" w:cs="" w:cstheme="majorBidi" w:eastAsiaTheme="majorEastAsia"/>
      <w:color w:val="000000" w:themeColor="text1"/>
    </w:rPr>
  </w:style>
  <w:style w:type="paragraph" w:styleId="4">
    <w:name w:val="Heading 4"/>
    <w:basedOn w:val="Normal"/>
    <w:link w:val="40"/>
    <w:uiPriority w:val="9"/>
    <w:semiHidden/>
    <w:unhideWhenUsed/>
    <w:qFormat/>
    <w:rsid w:val="005e0d73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uiPriority w:val="9"/>
    <w:qFormat/>
    <w:rsid w:val="002e7a8c"/>
    <w:rPr>
      <w:rFonts w:eastAsia="" w:cs="" w:cstheme="majorBidi" w:eastAsiaTheme="majorEastAsia"/>
      <w:color w:val="000000" w:themeColor="text1"/>
    </w:rPr>
  </w:style>
  <w:style w:type="character" w:styleId="11" w:customStyle="1">
    <w:name w:val="Стиль1 Знак1"/>
    <w:link w:val="1"/>
    <w:qFormat/>
    <w:rsid w:val="002e7a8c"/>
    <w:rPr>
      <w:rFonts w:eastAsia="Times New Roman"/>
      <w:lang w:val="x-none" w:eastAsia="x-none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de123e"/>
    <w:rPr>
      <w:rFonts w:ascii="Times New Roman" w:hAnsi="Times New Roman" w:cs="Times New Roman"/>
      <w:b/>
      <w:color w:val="000000"/>
      <w:szCs w:val="26"/>
      <w:lang w:eastAsia="ru-RU" w:bidi="ru-RU"/>
    </w:rPr>
  </w:style>
  <w:style w:type="character" w:styleId="Annotationreference">
    <w:name w:val="annotation reference"/>
    <w:semiHidden/>
    <w:qFormat/>
    <w:rsid w:val="00de123e"/>
    <w:rPr>
      <w:sz w:val="16"/>
      <w:szCs w:val="16"/>
    </w:rPr>
  </w:style>
  <w:style w:type="character" w:styleId="Style11" w:customStyle="1">
    <w:name w:val="Текст примечания Знак"/>
    <w:basedOn w:val="DefaultParagraphFont"/>
    <w:link w:val="a4"/>
    <w:semiHidden/>
    <w:qFormat/>
    <w:rsid w:val="00de123e"/>
    <w:rPr>
      <w:rFonts w:ascii="Calibri" w:hAnsi="Calibri" w:cs="Times New Roman"/>
      <w:sz w:val="20"/>
      <w:szCs w:val="20"/>
      <w:lang w:val="x-none" w:eastAsia="x-none"/>
    </w:rPr>
  </w:style>
  <w:style w:type="character" w:styleId="Style12" w:customStyle="1">
    <w:name w:val="Текст выноски Знак"/>
    <w:basedOn w:val="DefaultParagraphFont"/>
    <w:link w:val="a6"/>
    <w:uiPriority w:val="99"/>
    <w:semiHidden/>
    <w:qFormat/>
    <w:rsid w:val="00de123e"/>
    <w:rPr>
      <w:rFonts w:ascii="Tahoma" w:hAnsi="Tahoma" w:eastAsia="Calibri" w:cs="Times New Roman"/>
      <w:sz w:val="16"/>
      <w:szCs w:val="16"/>
      <w:lang w:val="x-none"/>
    </w:rPr>
  </w:style>
  <w:style w:type="character" w:styleId="Style13" w:customStyle="1">
    <w:name w:val="Верхний колонтитул Знак"/>
    <w:basedOn w:val="DefaultParagraphFont"/>
    <w:link w:val="a8"/>
    <w:uiPriority w:val="99"/>
    <w:qFormat/>
    <w:rsid w:val="00de123e"/>
    <w:rPr>
      <w:rFonts w:ascii="Calibri" w:hAnsi="Calibri" w:eastAsia="Calibri" w:cs="Times New Roman"/>
      <w:sz w:val="22"/>
      <w:szCs w:val="22"/>
      <w:lang w:val="x-none"/>
    </w:rPr>
  </w:style>
  <w:style w:type="character" w:styleId="Style14" w:customStyle="1">
    <w:name w:val="Нижний колонтитул Знак"/>
    <w:basedOn w:val="DefaultParagraphFont"/>
    <w:link w:val="aa"/>
    <w:uiPriority w:val="99"/>
    <w:qFormat/>
    <w:rsid w:val="00de123e"/>
    <w:rPr>
      <w:rFonts w:ascii="Calibri" w:hAnsi="Calibri" w:eastAsia="Calibri" w:cs="Times New Roman"/>
      <w:sz w:val="22"/>
      <w:szCs w:val="22"/>
      <w:lang w:val="x-none"/>
    </w:rPr>
  </w:style>
  <w:style w:type="character" w:styleId="Style15" w:customStyle="1">
    <w:name w:val="Текст сноски Знак"/>
    <w:basedOn w:val="DefaultParagraphFont"/>
    <w:link w:val="ae"/>
    <w:qFormat/>
    <w:rsid w:val="00de123e"/>
    <w:rPr>
      <w:rFonts w:ascii="Times New Roman" w:hAnsi="Times New Roman" w:cs="Times New Roman"/>
      <w:sz w:val="20"/>
      <w:szCs w:val="20"/>
      <w:lang w:val="x-none" w:eastAsia="zh-CN"/>
    </w:rPr>
  </w:style>
  <w:style w:type="character" w:styleId="ConsPlusNormal" w:customStyle="1">
    <w:name w:val="ConsPlusNormal Знак"/>
    <w:link w:val="ConsPlusNormal"/>
    <w:qFormat/>
    <w:locked/>
    <w:rsid w:val="00de123e"/>
    <w:rPr>
      <w:rFonts w:ascii="Calibri" w:hAnsi="Calibri" w:cs="Calibri"/>
      <w:sz w:val="22"/>
      <w:szCs w:val="22"/>
      <w:lang w:eastAsia="ru-RU"/>
    </w:rPr>
  </w:style>
  <w:style w:type="character" w:styleId="Style16">
    <w:name w:val="Привязка сноски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de123e"/>
    <w:rPr>
      <w:vertAlign w:val="superscript"/>
    </w:rPr>
  </w:style>
  <w:style w:type="character" w:styleId="Style17" w:customStyle="1">
    <w:name w:val="Основной текст_"/>
    <w:link w:val="10"/>
    <w:qFormat/>
    <w:rsid w:val="00de123e"/>
    <w:rPr>
      <w:rFonts w:ascii="Times New Roman" w:hAnsi="Times New Roman"/>
      <w:shd w:fill="FFFFFF" w:val="clear"/>
    </w:rPr>
  </w:style>
  <w:style w:type="character" w:styleId="Style18" w:customStyle="1">
    <w:name w:val="Тема примечания Знак"/>
    <w:basedOn w:val="Style11"/>
    <w:link w:val="af5"/>
    <w:uiPriority w:val="99"/>
    <w:semiHidden/>
    <w:qFormat/>
    <w:rsid w:val="00de123e"/>
    <w:rPr>
      <w:rFonts w:ascii="Calibri" w:hAnsi="Calibri" w:eastAsia="Calibri" w:cs="Times New Roman"/>
      <w:b/>
      <w:bCs/>
      <w:sz w:val="20"/>
      <w:szCs w:val="20"/>
      <w:lang w:val="x-none" w:eastAsia="x-none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5e0d73"/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  <w:sz w:val="22"/>
      <w:szCs w:val="22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b w:val="false"/>
      <w:bCs w:val="false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eastAsia="Calibri" w:cs="Times New Roman"/>
    </w:rPr>
  </w:style>
  <w:style w:type="character" w:styleId="ListLabel18">
    <w:name w:val="ListLabel 18"/>
    <w:qFormat/>
    <w:rPr>
      <w:rFonts w:ascii="Times New Roman" w:hAnsi="Times New Roman" w:cs="Symbol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ascii="PT Sans" w:hAnsi="PT Sans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1" w:customStyle="1">
    <w:name w:val="Стиль1"/>
    <w:basedOn w:val="Normal"/>
    <w:link w:val="11"/>
    <w:autoRedefine/>
    <w:qFormat/>
    <w:rsid w:val="002e7a8c"/>
    <w:pPr>
      <w:spacing w:before="240" w:after="200"/>
    </w:pPr>
    <w:rPr>
      <w:lang w:val="x-none" w:eastAsia="x-none"/>
    </w:rPr>
  </w:style>
  <w:style w:type="paragraph" w:styleId="ConsPlusNormal1" w:customStyle="1">
    <w:name w:val="ConsPlusNormal"/>
    <w:link w:val="ConsPlusNormal0"/>
    <w:qFormat/>
    <w:rsid w:val="00de123e"/>
    <w:pPr>
      <w:widowControl w:val="false"/>
      <w:bidi w:val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de123e"/>
    <w:pPr>
      <w:widowControl w:val="false"/>
      <w:bidi w:val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de123e"/>
    <w:pPr>
      <w:widowControl w:val="false"/>
      <w:bidi w:val="0"/>
      <w:jc w:val="left"/>
    </w:pPr>
    <w:rPr>
      <w:rFonts w:ascii="Calibri" w:hAnsi="Calibri" w:eastAsia="Times New Roman" w:cs="Calibri" w:asciiTheme="minorHAnsi" w:hAnsiTheme="minorHAnsi"/>
      <w:b/>
      <w:bCs/>
      <w:color w:val="auto"/>
      <w:kern w:val="0"/>
      <w:sz w:val="22"/>
      <w:szCs w:val="22"/>
      <w:lang w:val="ru-RU" w:eastAsia="ru-RU" w:bidi="ar-SA"/>
    </w:rPr>
  </w:style>
  <w:style w:type="paragraph" w:styleId="ConsPlusCell" w:customStyle="1">
    <w:name w:val="ConsPlusCell"/>
    <w:uiPriority w:val="99"/>
    <w:qFormat/>
    <w:rsid w:val="00de123e"/>
    <w:pPr>
      <w:widowControl w:val="false"/>
      <w:bidi w:val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Annotationtext">
    <w:name w:val="annotation text"/>
    <w:basedOn w:val="Normal"/>
    <w:link w:val="a5"/>
    <w:semiHidden/>
    <w:qFormat/>
    <w:rsid w:val="00de123e"/>
    <w:pPr/>
    <w:rPr>
      <w:rFonts w:eastAsia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de123e"/>
    <w:pPr>
      <w:spacing w:lineRule="auto" w:line="240" w:before="0" w:after="0"/>
    </w:pPr>
    <w:rPr>
      <w:rFonts w:ascii="Tahoma" w:hAnsi="Tahoma"/>
      <w:sz w:val="16"/>
      <w:szCs w:val="16"/>
      <w:lang w:val="x-none"/>
    </w:rPr>
  </w:style>
  <w:style w:type="paragraph" w:styleId="Style24">
    <w:name w:val="Header"/>
    <w:basedOn w:val="Normal"/>
    <w:link w:val="a9"/>
    <w:uiPriority w:val="99"/>
    <w:unhideWhenUsed/>
    <w:rsid w:val="00de123e"/>
    <w:pPr>
      <w:tabs>
        <w:tab w:val="center" w:pos="4677" w:leader="none"/>
        <w:tab w:val="right" w:pos="9355" w:leader="none"/>
      </w:tabs>
    </w:pPr>
    <w:rPr>
      <w:lang w:val="x-none"/>
    </w:rPr>
  </w:style>
  <w:style w:type="paragraph" w:styleId="Style25">
    <w:name w:val="Footer"/>
    <w:basedOn w:val="Normal"/>
    <w:link w:val="ab"/>
    <w:uiPriority w:val="99"/>
    <w:unhideWhenUsed/>
    <w:rsid w:val="00de123e"/>
    <w:pPr>
      <w:tabs>
        <w:tab w:val="center" w:pos="4677" w:leader="none"/>
        <w:tab w:val="right" w:pos="9355" w:leader="none"/>
      </w:tabs>
    </w:pPr>
    <w:rPr>
      <w:lang w:val="x-none"/>
    </w:rPr>
  </w:style>
  <w:style w:type="paragraph" w:styleId="Style26">
    <w:name w:val="Footnote Text"/>
    <w:basedOn w:val="Normal"/>
    <w:link w:val="af"/>
    <w:unhideWhenUsed/>
    <w:rsid w:val="00de123e"/>
    <w:pPr>
      <w:widowControl w:val="false"/>
      <w:suppressAutoHyphens w:val="true"/>
      <w:spacing w:lineRule="auto" w:line="240" w:before="0" w:after="0"/>
      <w:ind w:firstLine="720"/>
      <w:jc w:val="both"/>
    </w:pPr>
    <w:rPr>
      <w:rFonts w:ascii="Times New Roman" w:hAnsi="Times New Roman" w:eastAsia="Times New Roman"/>
      <w:sz w:val="20"/>
      <w:szCs w:val="20"/>
      <w:lang w:val="x-none" w:eastAsia="zh-CN"/>
    </w:rPr>
  </w:style>
  <w:style w:type="paragraph" w:styleId="12" w:customStyle="1">
    <w:name w:val="Основной текст1"/>
    <w:basedOn w:val="Normal"/>
    <w:link w:val="af2"/>
    <w:qFormat/>
    <w:rsid w:val="00de123e"/>
    <w:pPr>
      <w:widowControl w:val="false"/>
      <w:shd w:val="clear" w:color="auto" w:fill="FFFFFF"/>
      <w:spacing w:lineRule="auto" w:line="360" w:before="0" w:after="0"/>
      <w:ind w:firstLine="709"/>
      <w:jc w:val="both"/>
    </w:pPr>
    <w:rPr>
      <w:rFonts w:ascii="Times New Roman" w:hAnsi="Times New Roman" w:eastAsia="Times New Roman" w:cs="" w:cstheme="minorBidi"/>
      <w:sz w:val="24"/>
      <w:szCs w:val="24"/>
    </w:rPr>
  </w:style>
  <w:style w:type="paragraph" w:styleId="Style27" w:customStyle="1">
    <w:name w:val="Текст в заданном формате"/>
    <w:basedOn w:val="Normal"/>
    <w:qFormat/>
    <w:rsid w:val="00de123e"/>
    <w:pPr>
      <w:widowControl w:val="false"/>
      <w:spacing w:lineRule="auto" w:line="240" w:before="0" w:after="0"/>
    </w:pPr>
    <w:rPr>
      <w:rFonts w:ascii="Liberation Mono" w:hAnsi="Liberation Mono" w:eastAsia="Liberation Mono"/>
      <w:sz w:val="20"/>
      <w:szCs w:val="20"/>
      <w:lang w:val="en-US" w:eastAsia="zh-CN" w:bidi="hi-IN"/>
    </w:rPr>
  </w:style>
  <w:style w:type="paragraph" w:styleId="Revision">
    <w:name w:val="Revision"/>
    <w:uiPriority w:val="99"/>
    <w:semiHidden/>
    <w:qFormat/>
    <w:rsid w:val="00de123e"/>
    <w:pPr>
      <w:widowControl/>
      <w:bidi w:val="0"/>
      <w:jc w:val="left"/>
    </w:pPr>
    <w:rPr>
      <w:rFonts w:ascii="Calibri" w:hAnsi="Calibri" w:eastAsia="Calibri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de123e"/>
    <w:pPr>
      <w:spacing w:lineRule="auto" w:line="259" w:before="0" w:after="160"/>
      <w:ind w:left="720" w:hanging="0"/>
      <w:contextualSpacing/>
    </w:pPr>
    <w:rPr/>
  </w:style>
  <w:style w:type="paragraph" w:styleId="Annotationsubject">
    <w:name w:val="annotation subject"/>
    <w:basedOn w:val="Annotationtext"/>
    <w:link w:val="af6"/>
    <w:uiPriority w:val="99"/>
    <w:semiHidden/>
    <w:unhideWhenUsed/>
    <w:qFormat/>
    <w:rsid w:val="00de123e"/>
    <w:pPr/>
    <w:rPr>
      <w:rFonts w:eastAsia="Calibri"/>
      <w:b/>
      <w:bCs/>
      <w:lang w:val="ru-RU"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de123e"/>
    <w:pPr/>
    <w:rPr>
      <w:rFonts w:ascii="Times New Roman" w:hAnsi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39"/>
    <w:rsid w:val="00de123e"/>
    <w:rPr>
      <w:lang w:eastAsia="ru-RU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51ED3-F08A-4E8C-8612-B50D7909F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LibreOffice/6.0.5.2$Linux_X86_64 LibreOffice_project/00m0$Build-2</Application>
  <Pages>2</Pages>
  <Words>825</Words>
  <Characters>5939</Characters>
  <CharactersWithSpaces>6739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2022-12-16T08:18:00Z</dcterms:created>
  <dc:creator>Inga Anisimova</dc:creator>
  <dc:description/>
  <dc:language>ru-RU</dc:language>
  <cp:lastModifiedBy/>
  <cp:lastPrinted>2022-11-30T10:19:00Z</cp:lastPrinted>
  <dcterms:modified xsi:type="dcterms:W3CDTF">2025-02-28T10:22:57Z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